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17" w:rsidRPr="000B0465" w:rsidRDefault="00197E76">
      <w:pPr>
        <w:rPr>
          <w:rFonts w:ascii="Tw Cen MT" w:hAnsi="Tw Cen MT"/>
          <w:b/>
          <w:color w:val="4F81BD" w:themeColor="accent1"/>
          <w:sz w:val="32"/>
          <w:szCs w:val="32"/>
        </w:rPr>
      </w:pPr>
      <w:r>
        <w:rPr>
          <w:b/>
          <w:noProof/>
          <w:color w:val="4F81BD" w:themeColor="accent1"/>
          <w:sz w:val="36"/>
          <w:szCs w:val="36"/>
          <w:lang w:eastAsia="en-GB"/>
        </w:rPr>
        <w:drawing>
          <wp:inline distT="0" distB="0" distL="0" distR="0">
            <wp:extent cx="455992" cy="20102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30" cy="2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290">
        <w:rPr>
          <w:rFonts w:ascii="Tw Cen MT" w:hAnsi="Tw Cen MT"/>
          <w:b/>
          <w:color w:val="4F81BD" w:themeColor="accent1"/>
          <w:sz w:val="32"/>
          <w:szCs w:val="32"/>
        </w:rPr>
        <w:t xml:space="preserve"> </w:t>
      </w:r>
      <w:bookmarkStart w:id="0" w:name="_GoBack"/>
      <w:bookmarkEnd w:id="0"/>
      <w:r w:rsidR="00050471" w:rsidRPr="00197E76">
        <w:rPr>
          <w:rFonts w:ascii="Tw Cen MT" w:hAnsi="Tw Cen MT"/>
          <w:b/>
          <w:color w:val="4F81BD" w:themeColor="accent1"/>
          <w:sz w:val="32"/>
          <w:szCs w:val="32"/>
        </w:rPr>
        <w:t xml:space="preserve">Edith </w:t>
      </w:r>
      <w:proofErr w:type="spellStart"/>
      <w:r w:rsidR="00050471" w:rsidRPr="00197E76">
        <w:rPr>
          <w:rFonts w:ascii="Tw Cen MT" w:hAnsi="Tw Cen MT"/>
          <w:b/>
          <w:color w:val="4F81BD" w:themeColor="accent1"/>
          <w:sz w:val="32"/>
          <w:szCs w:val="32"/>
        </w:rPr>
        <w:t>Kerrison</w:t>
      </w:r>
      <w:proofErr w:type="spellEnd"/>
      <w:r w:rsidR="00050471" w:rsidRPr="00197E76">
        <w:rPr>
          <w:rFonts w:ascii="Tw Cen MT" w:hAnsi="Tw Cen MT"/>
          <w:b/>
          <w:color w:val="4F81BD" w:themeColor="accent1"/>
          <w:sz w:val="32"/>
          <w:szCs w:val="32"/>
        </w:rPr>
        <w:t xml:space="preserve"> </w:t>
      </w:r>
      <w:r w:rsidR="000B0465">
        <w:rPr>
          <w:rFonts w:ascii="Tw Cen MT" w:hAnsi="Tw Cen MT"/>
          <w:b/>
          <w:color w:val="4F81BD" w:themeColor="accent1"/>
          <w:sz w:val="32"/>
          <w:szCs w:val="32"/>
        </w:rPr>
        <w:t>Children’s Centre</w:t>
      </w:r>
      <w:r w:rsidR="00042D17" w:rsidRPr="00197E76">
        <w:rPr>
          <w:rFonts w:ascii="Tw Cen MT" w:hAnsi="Tw Cen MT"/>
          <w:b/>
          <w:color w:val="4F81BD" w:themeColor="accent1"/>
          <w:sz w:val="32"/>
          <w:szCs w:val="32"/>
        </w:rPr>
        <w:t xml:space="preserve"> Development</w:t>
      </w:r>
      <w:r w:rsidR="000B0465">
        <w:rPr>
          <w:rFonts w:ascii="Tw Cen MT" w:hAnsi="Tw Cen MT"/>
          <w:b/>
          <w:color w:val="4F81BD" w:themeColor="accent1"/>
          <w:sz w:val="32"/>
          <w:szCs w:val="32"/>
        </w:rPr>
        <w:t xml:space="preserve"> Overview of key</w:t>
      </w:r>
      <w:r w:rsidR="00042D17" w:rsidRPr="00197E76">
        <w:rPr>
          <w:rFonts w:ascii="Tw Cen MT" w:hAnsi="Tw Cen MT"/>
          <w:b/>
          <w:color w:val="4F81BD" w:themeColor="accent1"/>
          <w:sz w:val="32"/>
          <w:szCs w:val="32"/>
        </w:rPr>
        <w:t xml:space="preserve"> priorities</w:t>
      </w:r>
      <w:r>
        <w:rPr>
          <w:rFonts w:ascii="Tw Cen MT" w:hAnsi="Tw Cen MT"/>
          <w:b/>
          <w:color w:val="4F81BD" w:themeColor="accent1"/>
          <w:sz w:val="32"/>
          <w:szCs w:val="32"/>
        </w:rPr>
        <w:t xml:space="preserve"> 2018 2019</w:t>
      </w:r>
    </w:p>
    <w:p w:rsidR="00197E76" w:rsidRPr="00197E76" w:rsidRDefault="004A0B76">
      <w:pPr>
        <w:rPr>
          <w:rFonts w:ascii="Tw Cen MT" w:hAnsi="Tw Cen MT"/>
          <w:b/>
          <w:i/>
          <w:sz w:val="28"/>
          <w:szCs w:val="28"/>
        </w:rPr>
      </w:pPr>
      <w:r>
        <w:rPr>
          <w:rFonts w:ascii="Tw Cen MT" w:hAnsi="Tw Cen MT"/>
          <w:b/>
          <w:i/>
          <w:sz w:val="28"/>
          <w:szCs w:val="28"/>
        </w:rPr>
        <w:t>Our aim is to ensure our services give priority of access to the most vulnerable, reflect the community need and are of high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7E76" w:rsidRPr="00197E76" w:rsidTr="00FF665B">
        <w:tc>
          <w:tcPr>
            <w:tcW w:w="9242" w:type="dxa"/>
          </w:tcPr>
          <w:p w:rsidR="00197E76" w:rsidRPr="00197E76" w:rsidRDefault="00197E76" w:rsidP="004A0B76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97E76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1a) </w:t>
            </w:r>
            <w:r w:rsidR="004A0B76">
              <w:rPr>
                <w:rFonts w:ascii="Tw Cen MT" w:hAnsi="Tw Cen MT"/>
                <w:color w:val="000000" w:themeColor="text1"/>
                <w:sz w:val="28"/>
                <w:szCs w:val="28"/>
              </w:rPr>
              <w:t>Through collaborative partnerships, target groups are reviewed to reflect the most vulnerable needs across Custom House and Canning Town</w:t>
            </w:r>
          </w:p>
        </w:tc>
      </w:tr>
      <w:tr w:rsidR="00197E76" w:rsidRPr="00197E76" w:rsidTr="00FF665B">
        <w:tc>
          <w:tcPr>
            <w:tcW w:w="9242" w:type="dxa"/>
          </w:tcPr>
          <w:p w:rsidR="00197E76" w:rsidRPr="00197E76" w:rsidRDefault="004A0B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1b) Monitoring across Canning Town and Custom House shows sessions are accessed by our identified most vulnerable groups within our neighbourhood</w:t>
            </w:r>
          </w:p>
        </w:tc>
      </w:tr>
      <w:tr w:rsidR="00197E76" w:rsidRPr="00197E76" w:rsidTr="00FF665B">
        <w:tc>
          <w:tcPr>
            <w:tcW w:w="9242" w:type="dxa"/>
          </w:tcPr>
          <w:p w:rsidR="00197E76" w:rsidRPr="00197E76" w:rsidRDefault="004A0B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1c) Access to high quality </w:t>
            </w:r>
            <w:proofErr w:type="spellStart"/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childminders</w:t>
            </w:r>
            <w:proofErr w:type="spellEnd"/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is improved through the development of induction processes and professional development op</w:t>
            </w:r>
            <w:r w:rsidR="000778F3">
              <w:rPr>
                <w:rFonts w:ascii="Tw Cen MT" w:hAnsi="Tw Cen MT"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ortunities</w:t>
            </w:r>
          </w:p>
        </w:tc>
      </w:tr>
      <w:tr w:rsidR="00197E76" w:rsidRPr="00197E76" w:rsidTr="00FF665B">
        <w:tc>
          <w:tcPr>
            <w:tcW w:w="9242" w:type="dxa"/>
          </w:tcPr>
          <w:p w:rsidR="00197E76" w:rsidRPr="00197E76" w:rsidRDefault="004A0B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1d) Access for Free Early Education and 30 hours entitlements across the neighbourhood are improved with a focus on Canning Town North</w:t>
            </w:r>
          </w:p>
        </w:tc>
      </w:tr>
      <w:tr w:rsidR="00197E76" w:rsidRPr="00197E76" w:rsidTr="00FF665B">
        <w:tc>
          <w:tcPr>
            <w:tcW w:w="9242" w:type="dxa"/>
          </w:tcPr>
          <w:p w:rsidR="00197E76" w:rsidRPr="00197E76" w:rsidRDefault="00197E76" w:rsidP="009359C7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97E76">
              <w:rPr>
                <w:rFonts w:ascii="Tw Cen MT" w:hAnsi="Tw Cen MT"/>
                <w:color w:val="000000" w:themeColor="text1"/>
                <w:sz w:val="28"/>
                <w:szCs w:val="28"/>
              </w:rPr>
              <w:t>1e</w:t>
            </w:r>
            <w:r w:rsidR="00FF665B">
              <w:rPr>
                <w:rFonts w:ascii="Tw Cen MT" w:hAnsi="Tw Cen MT"/>
                <w:color w:val="000000" w:themeColor="text1"/>
                <w:sz w:val="28"/>
                <w:szCs w:val="28"/>
              </w:rPr>
              <w:t>) A programme is in place to support the aim of increasing the Early Years workforce through volunteers, basic skills training and Teacher Assistant training</w:t>
            </w:r>
          </w:p>
        </w:tc>
      </w:tr>
      <w:tr w:rsidR="00197E76" w:rsidRPr="00197E76" w:rsidTr="00FF665B">
        <w:tc>
          <w:tcPr>
            <w:tcW w:w="9242" w:type="dxa"/>
          </w:tcPr>
          <w:p w:rsidR="00197E76" w:rsidRPr="00197E76" w:rsidRDefault="00197E76" w:rsidP="00FF665B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97E76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1f) </w:t>
            </w:r>
            <w:r w:rsidR="00FF665B">
              <w:rPr>
                <w:rFonts w:ascii="Tw Cen MT" w:hAnsi="Tw Cen MT"/>
                <w:color w:val="000000" w:themeColor="text1"/>
                <w:sz w:val="28"/>
                <w:szCs w:val="28"/>
              </w:rPr>
              <w:t>A link with workplace is established to deliver introduction sessions to families offering their services for re-entering the workplace</w:t>
            </w:r>
          </w:p>
        </w:tc>
      </w:tr>
      <w:tr w:rsidR="000778F3" w:rsidRPr="00197E76" w:rsidTr="00FF665B">
        <w:tc>
          <w:tcPr>
            <w:tcW w:w="9242" w:type="dxa"/>
          </w:tcPr>
          <w:p w:rsidR="000778F3" w:rsidRPr="00197E76" w:rsidRDefault="000778F3" w:rsidP="00FF665B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1g) Children’s dental and dietary health is monitored and improved through intervention where necessary</w:t>
            </w:r>
          </w:p>
        </w:tc>
      </w:tr>
      <w:tr w:rsidR="000778F3" w:rsidRPr="00197E76" w:rsidTr="00FF665B">
        <w:tc>
          <w:tcPr>
            <w:tcW w:w="9242" w:type="dxa"/>
          </w:tcPr>
          <w:p w:rsidR="000778F3" w:rsidRPr="00197E76" w:rsidRDefault="007C5290" w:rsidP="00FF665B">
            <w:pPr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1h) the needs of children with emerging and undiagnosed SEND are better met by their parents and their parents are empowered to seek necessary support</w:t>
            </w:r>
          </w:p>
        </w:tc>
      </w:tr>
    </w:tbl>
    <w:p w:rsidR="00197E76" w:rsidRPr="00197E76" w:rsidRDefault="00197E76" w:rsidP="00197E76">
      <w:pPr>
        <w:rPr>
          <w:rFonts w:ascii="Tw Cen MT" w:hAnsi="Tw Cen MT"/>
          <w:color w:val="000000" w:themeColor="text1"/>
          <w:sz w:val="24"/>
          <w:szCs w:val="24"/>
        </w:rPr>
      </w:pPr>
    </w:p>
    <w:p w:rsidR="00050471" w:rsidRPr="00197E76" w:rsidRDefault="00FF665B">
      <w:pPr>
        <w:rPr>
          <w:rFonts w:ascii="Tw Cen MT" w:hAnsi="Tw Cen MT"/>
          <w:b/>
          <w:i/>
          <w:sz w:val="28"/>
          <w:szCs w:val="28"/>
        </w:rPr>
      </w:pPr>
      <w:r>
        <w:rPr>
          <w:rFonts w:ascii="Tw Cen MT" w:hAnsi="Tw Cen MT"/>
          <w:b/>
          <w:i/>
          <w:sz w:val="28"/>
          <w:szCs w:val="28"/>
        </w:rPr>
        <w:t>Services across our neighbourhoods Children Centre’s and Schools are consistent and integrated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7E76" w:rsidRPr="00197E76" w:rsidTr="009359C7">
        <w:tc>
          <w:tcPr>
            <w:tcW w:w="14174" w:type="dxa"/>
          </w:tcPr>
          <w:p w:rsidR="00197E76" w:rsidRPr="00197E76" w:rsidRDefault="00FF665B" w:rsidP="00197E76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2a) Advisory Board members are able to identify key roles and responsibilities within the Children Centres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197E76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2</w:t>
            </w:r>
            <w:r w:rsidR="00FF665B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b) All staff know and understand CC target groups and key priorities for development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FF665B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 xml:space="preserve">2c) </w:t>
            </w:r>
            <w:r w:rsidR="00FF665B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Advisory Board members challenge the work of the Centre through effective questioning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FF665B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 xml:space="preserve">2d) </w:t>
            </w:r>
            <w:r w:rsidR="00FF665B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Key projects extend and are consistent across the CC and the school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197E76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2e</w:t>
            </w:r>
            <w:r w:rsidR="00FF665B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) CC development plans are used to inform staff appraisals across the neighbourhood</w:t>
            </w:r>
          </w:p>
        </w:tc>
      </w:tr>
      <w:tr w:rsidR="00197E76" w:rsidRPr="00197E76" w:rsidTr="009359C7">
        <w:tc>
          <w:tcPr>
            <w:tcW w:w="14174" w:type="dxa"/>
          </w:tcPr>
          <w:p w:rsidR="00197E76" w:rsidRPr="00197E76" w:rsidRDefault="00197E76" w:rsidP="00197E76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2e</w:t>
            </w:r>
            <w:r w:rsidR="00FF665B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) Surveys show users are aware of key priorities for the neighbourhood</w:t>
            </w:r>
          </w:p>
        </w:tc>
      </w:tr>
    </w:tbl>
    <w:p w:rsidR="00197E76" w:rsidRDefault="00197E76">
      <w:pPr>
        <w:rPr>
          <w:b/>
          <w:i/>
          <w:sz w:val="28"/>
          <w:szCs w:val="28"/>
        </w:rPr>
      </w:pPr>
    </w:p>
    <w:p w:rsidR="000778F3" w:rsidRDefault="000778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Opportunities for collaborative work with key partners across the neighbourhood are increased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78F3" w:rsidRPr="00197E76" w:rsidTr="000778F3">
        <w:tc>
          <w:tcPr>
            <w:tcW w:w="9242" w:type="dxa"/>
          </w:tcPr>
          <w:p w:rsidR="000778F3" w:rsidRPr="00197E76" w:rsidRDefault="000778F3" w:rsidP="000778F3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 xml:space="preserve">a) </w:t>
            </w: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regular termly meetings with the health visiting team are in place to share information, actions and incentives to improve outcomes for children</w:t>
            </w:r>
          </w:p>
        </w:tc>
      </w:tr>
      <w:tr w:rsidR="000778F3" w:rsidRPr="00197E76" w:rsidTr="000778F3">
        <w:tc>
          <w:tcPr>
            <w:tcW w:w="9242" w:type="dxa"/>
          </w:tcPr>
          <w:p w:rsidR="000778F3" w:rsidRPr="00197E76" w:rsidRDefault="000778F3" w:rsidP="000778F3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 xml:space="preserve">b) </w:t>
            </w: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The integrated two year old review is happening routinely across the CC and Nursery</w:t>
            </w:r>
          </w:p>
        </w:tc>
      </w:tr>
      <w:tr w:rsidR="000778F3" w:rsidRPr="00197E76" w:rsidTr="000778F3">
        <w:tc>
          <w:tcPr>
            <w:tcW w:w="9242" w:type="dxa"/>
          </w:tcPr>
          <w:p w:rsidR="000778F3" w:rsidRPr="00197E76" w:rsidRDefault="000778F3" w:rsidP="000778F3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3</w:t>
            </w:r>
            <w:r w:rsidRPr="00197E76"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 xml:space="preserve">c) </w:t>
            </w: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Parents Involved in their Children’s Learning (PICL) is delivered consistently across the CC and Nursery</w:t>
            </w:r>
          </w:p>
        </w:tc>
      </w:tr>
    </w:tbl>
    <w:p w:rsidR="000778F3" w:rsidRDefault="000778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parent’s voice is increased to support the work of the CC and help shape services to meet the needs of the neighbourhood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78F3" w:rsidRPr="00197E76" w:rsidTr="009359C7">
        <w:tc>
          <w:tcPr>
            <w:tcW w:w="9242" w:type="dxa"/>
          </w:tcPr>
          <w:p w:rsidR="000778F3" w:rsidRPr="00197E76" w:rsidRDefault="000778F3" w:rsidP="000778F3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 xml:space="preserve">a) </w:t>
            </w: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parents views and suggestions are captured at regular coffee mornings facilitated by a volunteer</w:t>
            </w:r>
          </w:p>
        </w:tc>
      </w:tr>
      <w:tr w:rsidR="000778F3" w:rsidRPr="00197E76" w:rsidTr="009359C7">
        <w:tc>
          <w:tcPr>
            <w:tcW w:w="9242" w:type="dxa"/>
          </w:tcPr>
          <w:p w:rsidR="000778F3" w:rsidRPr="00197E76" w:rsidRDefault="000778F3" w:rsidP="009359C7">
            <w:pP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</w:pP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 xml:space="preserve">b) </w:t>
            </w:r>
            <w:r>
              <w:rPr>
                <w:rFonts w:ascii="Tw Cen MT" w:eastAsia="Calibri" w:hAnsi="Tw Cen MT" w:cs="Times New Roman"/>
                <w:color w:val="000000"/>
                <w:sz w:val="28"/>
                <w:szCs w:val="28"/>
              </w:rPr>
              <w:t>surveys show users area aware of key priorities for the neighbourhood</w:t>
            </w:r>
          </w:p>
        </w:tc>
      </w:tr>
    </w:tbl>
    <w:p w:rsidR="000778F3" w:rsidRDefault="000778F3">
      <w:pPr>
        <w:rPr>
          <w:b/>
          <w:i/>
          <w:sz w:val="28"/>
          <w:szCs w:val="28"/>
        </w:rPr>
      </w:pPr>
    </w:p>
    <w:p w:rsidR="000778F3" w:rsidRDefault="000778F3">
      <w:pPr>
        <w:rPr>
          <w:b/>
          <w:i/>
          <w:sz w:val="28"/>
          <w:szCs w:val="28"/>
        </w:rPr>
      </w:pPr>
    </w:p>
    <w:sectPr w:rsidR="00077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17"/>
    <w:rsid w:val="00042D17"/>
    <w:rsid w:val="00050471"/>
    <w:rsid w:val="000778F3"/>
    <w:rsid w:val="000B0465"/>
    <w:rsid w:val="00197E76"/>
    <w:rsid w:val="004A0B76"/>
    <w:rsid w:val="004C6118"/>
    <w:rsid w:val="007C5290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Aylett</dc:creator>
  <cp:lastModifiedBy>Joanne Aylett2</cp:lastModifiedBy>
  <cp:revision>2</cp:revision>
  <cp:lastPrinted>2018-05-08T09:14:00Z</cp:lastPrinted>
  <dcterms:created xsi:type="dcterms:W3CDTF">2019-02-04T17:08:00Z</dcterms:created>
  <dcterms:modified xsi:type="dcterms:W3CDTF">2019-02-04T17:08:00Z</dcterms:modified>
</cp:coreProperties>
</file>