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18" w:rsidRPr="00197E76" w:rsidRDefault="00197E76">
      <w:pPr>
        <w:rPr>
          <w:rFonts w:ascii="Tw Cen MT" w:hAnsi="Tw Cen MT"/>
          <w:b/>
          <w:color w:val="4F81BD" w:themeColor="accent1"/>
          <w:sz w:val="32"/>
          <w:szCs w:val="32"/>
        </w:rPr>
      </w:pPr>
      <w:r>
        <w:rPr>
          <w:b/>
          <w:noProof/>
          <w:color w:val="4F81BD" w:themeColor="accent1"/>
          <w:sz w:val="36"/>
          <w:szCs w:val="36"/>
          <w:lang w:eastAsia="en-GB"/>
        </w:rPr>
        <w:drawing>
          <wp:inline distT="0" distB="0" distL="0" distR="0">
            <wp:extent cx="455992" cy="201020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30" cy="2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0471" w:rsidRPr="00197E76">
        <w:rPr>
          <w:rFonts w:ascii="Tw Cen MT" w:hAnsi="Tw Cen MT"/>
          <w:b/>
          <w:color w:val="4F81BD" w:themeColor="accent1"/>
          <w:sz w:val="32"/>
          <w:szCs w:val="32"/>
        </w:rPr>
        <w:t xml:space="preserve">Edith </w:t>
      </w:r>
      <w:proofErr w:type="spellStart"/>
      <w:r w:rsidR="00050471" w:rsidRPr="00197E76">
        <w:rPr>
          <w:rFonts w:ascii="Tw Cen MT" w:hAnsi="Tw Cen MT"/>
          <w:b/>
          <w:color w:val="4F81BD" w:themeColor="accent1"/>
          <w:sz w:val="32"/>
          <w:szCs w:val="32"/>
        </w:rPr>
        <w:t>Kerrison</w:t>
      </w:r>
      <w:proofErr w:type="spellEnd"/>
      <w:r w:rsidR="00050471" w:rsidRPr="00197E76">
        <w:rPr>
          <w:rFonts w:ascii="Tw Cen MT" w:hAnsi="Tw Cen MT"/>
          <w:b/>
          <w:color w:val="4F81BD" w:themeColor="accent1"/>
          <w:sz w:val="32"/>
          <w:szCs w:val="32"/>
        </w:rPr>
        <w:t xml:space="preserve"> </w:t>
      </w:r>
      <w:r w:rsidR="00042D17" w:rsidRPr="00197E76">
        <w:rPr>
          <w:rFonts w:ascii="Tw Cen MT" w:hAnsi="Tw Cen MT"/>
          <w:b/>
          <w:color w:val="4F81BD" w:themeColor="accent1"/>
          <w:sz w:val="32"/>
          <w:szCs w:val="32"/>
        </w:rPr>
        <w:t>School Development priorities</w:t>
      </w:r>
      <w:r>
        <w:rPr>
          <w:rFonts w:ascii="Tw Cen MT" w:hAnsi="Tw Cen MT"/>
          <w:b/>
          <w:color w:val="4F81BD" w:themeColor="accent1"/>
          <w:sz w:val="32"/>
          <w:szCs w:val="32"/>
        </w:rPr>
        <w:t xml:space="preserve"> 2018 2019</w:t>
      </w:r>
      <w:bookmarkStart w:id="0" w:name="_GoBack"/>
      <w:bookmarkEnd w:id="0"/>
    </w:p>
    <w:p w:rsidR="00042D17" w:rsidRPr="00197E76" w:rsidRDefault="00042D17">
      <w:pPr>
        <w:rPr>
          <w:rFonts w:ascii="Tw Cen MT" w:hAnsi="Tw Cen MT"/>
          <w:b/>
        </w:rPr>
      </w:pPr>
      <w:r w:rsidRPr="00197E76">
        <w:rPr>
          <w:rFonts w:ascii="Tw Cen MT" w:hAnsi="Tw Cen MT"/>
          <w:b/>
        </w:rPr>
        <w:t>Priority 1</w:t>
      </w:r>
    </w:p>
    <w:p w:rsidR="00197E76" w:rsidRPr="00197E76" w:rsidRDefault="00042D17">
      <w:pPr>
        <w:rPr>
          <w:rFonts w:ascii="Tw Cen MT" w:hAnsi="Tw Cen MT"/>
          <w:b/>
          <w:i/>
          <w:sz w:val="28"/>
          <w:szCs w:val="28"/>
        </w:rPr>
      </w:pPr>
      <w:r w:rsidRPr="00197E76">
        <w:rPr>
          <w:rFonts w:ascii="Tw Cen MT" w:hAnsi="Tw Cen MT"/>
          <w:b/>
          <w:i/>
          <w:sz w:val="28"/>
          <w:szCs w:val="28"/>
        </w:rPr>
        <w:t>Assessment information is understood by all and used to plan appropriate resources, teaching and learning enabling all learners to make good progress and achieve good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97E76" w:rsidRPr="00197E76" w:rsidTr="009359C7">
        <w:tc>
          <w:tcPr>
            <w:tcW w:w="14174" w:type="dxa"/>
          </w:tcPr>
          <w:p w:rsidR="00197E76" w:rsidRPr="00197E76" w:rsidRDefault="00197E76" w:rsidP="009359C7">
            <w:pPr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 w:rsidRPr="00197E76">
              <w:rPr>
                <w:rFonts w:ascii="Tw Cen MT" w:hAnsi="Tw Cen MT"/>
                <w:color w:val="000000" w:themeColor="text1"/>
                <w:sz w:val="28"/>
                <w:szCs w:val="28"/>
              </w:rPr>
              <w:t>1a) Social play is further developed through well planned collaborative activities</w:t>
            </w:r>
          </w:p>
        </w:tc>
      </w:tr>
      <w:tr w:rsidR="00197E76" w:rsidRPr="00197E76" w:rsidTr="009359C7">
        <w:tc>
          <w:tcPr>
            <w:tcW w:w="14174" w:type="dxa"/>
          </w:tcPr>
          <w:p w:rsidR="00197E76" w:rsidRPr="00197E76" w:rsidRDefault="00197E76" w:rsidP="009359C7">
            <w:pPr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 w:rsidRPr="00197E76">
              <w:rPr>
                <w:rFonts w:ascii="Tw Cen MT" w:hAnsi="Tw Cen MT"/>
                <w:color w:val="000000" w:themeColor="text1"/>
                <w:sz w:val="28"/>
                <w:szCs w:val="28"/>
              </w:rPr>
              <w:t>1b) Dialogic reading is embedded as a teaching strategy when sharing stories with children</w:t>
            </w:r>
          </w:p>
        </w:tc>
      </w:tr>
      <w:tr w:rsidR="00197E76" w:rsidRPr="00197E76" w:rsidTr="009359C7">
        <w:tc>
          <w:tcPr>
            <w:tcW w:w="14174" w:type="dxa"/>
          </w:tcPr>
          <w:p w:rsidR="00197E76" w:rsidRPr="00197E76" w:rsidRDefault="00197E76" w:rsidP="009359C7">
            <w:pPr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 w:rsidRPr="00197E76">
              <w:rPr>
                <w:rFonts w:ascii="Tw Cen MT" w:hAnsi="Tw Cen MT"/>
                <w:color w:val="000000" w:themeColor="text1"/>
                <w:sz w:val="28"/>
                <w:szCs w:val="28"/>
              </w:rPr>
              <w:t>1c) Practitioners develop further expertise in the teaching of mathematics</w:t>
            </w:r>
          </w:p>
        </w:tc>
      </w:tr>
      <w:tr w:rsidR="00197E76" w:rsidRPr="00197E76" w:rsidTr="009359C7">
        <w:tc>
          <w:tcPr>
            <w:tcW w:w="14174" w:type="dxa"/>
          </w:tcPr>
          <w:p w:rsidR="00197E76" w:rsidRPr="00197E76" w:rsidRDefault="00197E76" w:rsidP="009359C7">
            <w:pPr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 w:rsidRPr="00197E76">
              <w:rPr>
                <w:rFonts w:ascii="Tw Cen MT" w:hAnsi="Tw Cen MT"/>
                <w:color w:val="000000" w:themeColor="text1"/>
                <w:sz w:val="28"/>
                <w:szCs w:val="28"/>
              </w:rPr>
              <w:t>1d) Children are able to independently access appropriate resources which support a broad and balanced curriculum</w:t>
            </w:r>
          </w:p>
        </w:tc>
      </w:tr>
      <w:tr w:rsidR="00197E76" w:rsidRPr="00197E76" w:rsidTr="009359C7">
        <w:tc>
          <w:tcPr>
            <w:tcW w:w="14174" w:type="dxa"/>
          </w:tcPr>
          <w:p w:rsidR="00197E76" w:rsidRPr="00197E76" w:rsidRDefault="00197E76" w:rsidP="009359C7">
            <w:pPr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 w:rsidRPr="00197E76">
              <w:rPr>
                <w:rFonts w:ascii="Tw Cen MT" w:hAnsi="Tw Cen MT"/>
                <w:color w:val="000000" w:themeColor="text1"/>
                <w:sz w:val="28"/>
                <w:szCs w:val="28"/>
              </w:rPr>
              <w:t xml:space="preserve">1e) All leaders use data about specific areas of learning to move children’s learning on </w:t>
            </w:r>
          </w:p>
        </w:tc>
      </w:tr>
      <w:tr w:rsidR="00197E76" w:rsidRPr="00197E76" w:rsidTr="009359C7">
        <w:tc>
          <w:tcPr>
            <w:tcW w:w="14174" w:type="dxa"/>
          </w:tcPr>
          <w:p w:rsidR="00197E76" w:rsidRPr="00197E76" w:rsidRDefault="00197E76" w:rsidP="009359C7">
            <w:pPr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 w:rsidRPr="00197E76">
              <w:rPr>
                <w:rFonts w:ascii="Tw Cen MT" w:hAnsi="Tw Cen MT"/>
                <w:color w:val="000000" w:themeColor="text1"/>
                <w:sz w:val="28"/>
                <w:szCs w:val="28"/>
              </w:rPr>
              <w:t xml:space="preserve">1f) All adults use observations of children’s learning in the specific areas to plan provision that supports and challenges children’s learning </w:t>
            </w:r>
          </w:p>
        </w:tc>
      </w:tr>
      <w:tr w:rsidR="00197E76" w:rsidRPr="00197E76" w:rsidTr="009359C7">
        <w:tc>
          <w:tcPr>
            <w:tcW w:w="14174" w:type="dxa"/>
          </w:tcPr>
          <w:p w:rsidR="00197E76" w:rsidRPr="00197E76" w:rsidRDefault="00197E76" w:rsidP="009359C7">
            <w:pPr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 w:rsidRPr="00197E76">
              <w:rPr>
                <w:rFonts w:ascii="Tw Cen MT" w:hAnsi="Tw Cen MT"/>
                <w:color w:val="000000" w:themeColor="text1"/>
                <w:sz w:val="28"/>
                <w:szCs w:val="28"/>
              </w:rPr>
              <w:t xml:space="preserve">1g) Understanding of Development Matters statements is consistent and applied accurately </w:t>
            </w:r>
          </w:p>
        </w:tc>
      </w:tr>
    </w:tbl>
    <w:p w:rsidR="00197E76" w:rsidRPr="00197E76" w:rsidRDefault="00197E76" w:rsidP="00197E76">
      <w:pPr>
        <w:rPr>
          <w:rFonts w:ascii="Tw Cen MT" w:hAnsi="Tw Cen MT"/>
          <w:color w:val="000000" w:themeColor="text1"/>
          <w:sz w:val="24"/>
          <w:szCs w:val="24"/>
        </w:rPr>
      </w:pPr>
    </w:p>
    <w:p w:rsidR="00050471" w:rsidRPr="00197E76" w:rsidRDefault="00050471">
      <w:pPr>
        <w:rPr>
          <w:rFonts w:ascii="Tw Cen MT" w:hAnsi="Tw Cen MT"/>
          <w:b/>
        </w:rPr>
      </w:pPr>
      <w:r w:rsidRPr="00197E76">
        <w:rPr>
          <w:rFonts w:ascii="Tw Cen MT" w:hAnsi="Tw Cen MT"/>
          <w:b/>
        </w:rPr>
        <w:t>Priority 2</w:t>
      </w:r>
    </w:p>
    <w:p w:rsidR="00050471" w:rsidRPr="00197E76" w:rsidRDefault="00050471">
      <w:pPr>
        <w:rPr>
          <w:rFonts w:ascii="Tw Cen MT" w:hAnsi="Tw Cen MT"/>
          <w:b/>
          <w:i/>
          <w:sz w:val="28"/>
          <w:szCs w:val="28"/>
        </w:rPr>
      </w:pPr>
      <w:r w:rsidRPr="00197E76">
        <w:rPr>
          <w:rFonts w:ascii="Tw Cen MT" w:hAnsi="Tw Cen MT"/>
          <w:b/>
          <w:i/>
          <w:sz w:val="28"/>
          <w:szCs w:val="28"/>
        </w:rPr>
        <w:t xml:space="preserve">Leaders at all levels understand and evaluate the quality of provision and outcomes through robust </w:t>
      </w:r>
      <w:proofErr w:type="spellStart"/>
      <w:r w:rsidRPr="00197E76">
        <w:rPr>
          <w:rFonts w:ascii="Tw Cen MT" w:hAnsi="Tw Cen MT"/>
          <w:b/>
          <w:i/>
          <w:sz w:val="28"/>
          <w:szCs w:val="28"/>
        </w:rPr>
        <w:t>self evaluation</w:t>
      </w:r>
      <w:proofErr w:type="spellEnd"/>
      <w:r w:rsidRPr="00197E76">
        <w:rPr>
          <w:rFonts w:ascii="Tw Cen MT" w:hAnsi="Tw Cen MT"/>
          <w:b/>
          <w:i/>
          <w:sz w:val="28"/>
          <w:szCs w:val="28"/>
        </w:rPr>
        <w:t>, stronger partnerships and seeking excellent role models in other settings.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97E76" w:rsidRPr="00197E76" w:rsidTr="009359C7">
        <w:tc>
          <w:tcPr>
            <w:tcW w:w="14174" w:type="dxa"/>
          </w:tcPr>
          <w:p w:rsidR="00197E76" w:rsidRPr="00197E76" w:rsidRDefault="00197E76" w:rsidP="00197E76">
            <w:pPr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</w:pPr>
            <w:r w:rsidRPr="00197E76"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  <w:t>2a) The Governing Body know and are able to support and challenge aspects of the schools work</w:t>
            </w:r>
          </w:p>
        </w:tc>
      </w:tr>
      <w:tr w:rsidR="00197E76" w:rsidRPr="00197E76" w:rsidTr="009359C7">
        <w:tc>
          <w:tcPr>
            <w:tcW w:w="14174" w:type="dxa"/>
          </w:tcPr>
          <w:p w:rsidR="00197E76" w:rsidRPr="00197E76" w:rsidRDefault="00197E76" w:rsidP="00197E76">
            <w:pPr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</w:pPr>
            <w:r w:rsidRPr="00197E76"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  <w:t>2b) Coaching and mentoring for the leadership team is effective and ensures leaders are able to fulfil their roles and responsibilities effectively and efficiently</w:t>
            </w:r>
          </w:p>
        </w:tc>
      </w:tr>
      <w:tr w:rsidR="00197E76" w:rsidRPr="00197E76" w:rsidTr="009359C7">
        <w:tc>
          <w:tcPr>
            <w:tcW w:w="14174" w:type="dxa"/>
          </w:tcPr>
          <w:p w:rsidR="00197E76" w:rsidRPr="00197E76" w:rsidRDefault="00197E76" w:rsidP="00197E76">
            <w:pPr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</w:pPr>
            <w:r w:rsidRPr="00197E76"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  <w:t>2c) The Transition policy is embedded and  managed effectively to ensure child and family well-being is high</w:t>
            </w:r>
          </w:p>
        </w:tc>
      </w:tr>
      <w:tr w:rsidR="00197E76" w:rsidRPr="00197E76" w:rsidTr="009359C7">
        <w:tc>
          <w:tcPr>
            <w:tcW w:w="14174" w:type="dxa"/>
          </w:tcPr>
          <w:p w:rsidR="00197E76" w:rsidRPr="00197E76" w:rsidRDefault="00197E76" w:rsidP="00197E76">
            <w:pPr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</w:pPr>
            <w:r w:rsidRPr="00197E76"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  <w:t>2d) The HT works in partnership with early Years Settings and schools in East London through Peer Enquiry And Learning (PEAL) and leads Assessment Moderation Meetings</w:t>
            </w:r>
          </w:p>
        </w:tc>
      </w:tr>
      <w:tr w:rsidR="00197E76" w:rsidRPr="00197E76" w:rsidTr="009359C7">
        <w:tc>
          <w:tcPr>
            <w:tcW w:w="14174" w:type="dxa"/>
          </w:tcPr>
          <w:p w:rsidR="00197E76" w:rsidRPr="00197E76" w:rsidRDefault="00197E76" w:rsidP="00197E76">
            <w:pPr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</w:pPr>
            <w:r w:rsidRPr="00197E76"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  <w:t>2e) Opportunities to share SEND expertise and professional development are identified and embedded</w:t>
            </w:r>
          </w:p>
        </w:tc>
      </w:tr>
      <w:tr w:rsidR="00197E76" w:rsidRPr="00197E76" w:rsidTr="009359C7">
        <w:tc>
          <w:tcPr>
            <w:tcW w:w="14174" w:type="dxa"/>
          </w:tcPr>
          <w:p w:rsidR="00197E76" w:rsidRPr="00197E76" w:rsidRDefault="00197E76" w:rsidP="00197E76">
            <w:pPr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</w:pPr>
            <w:r w:rsidRPr="00197E76"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  <w:t>2e) Safeguarding policies and practices are reviewed and kept uppermost is staff minds</w:t>
            </w:r>
          </w:p>
        </w:tc>
      </w:tr>
    </w:tbl>
    <w:p w:rsidR="00197E76" w:rsidRDefault="00197E76">
      <w:pPr>
        <w:rPr>
          <w:b/>
          <w:i/>
          <w:sz w:val="28"/>
          <w:szCs w:val="28"/>
        </w:rPr>
      </w:pPr>
    </w:p>
    <w:sectPr w:rsidR="00197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17"/>
    <w:rsid w:val="00042D17"/>
    <w:rsid w:val="00050471"/>
    <w:rsid w:val="00197E76"/>
    <w:rsid w:val="004C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Aylett</dc:creator>
  <cp:lastModifiedBy>Joanne Aylett2</cp:lastModifiedBy>
  <cp:revision>2</cp:revision>
  <cp:lastPrinted>2018-05-08T09:14:00Z</cp:lastPrinted>
  <dcterms:created xsi:type="dcterms:W3CDTF">2019-02-04T16:33:00Z</dcterms:created>
  <dcterms:modified xsi:type="dcterms:W3CDTF">2019-02-04T16:33:00Z</dcterms:modified>
</cp:coreProperties>
</file>